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78A" w:rsidRPr="001C378A" w:rsidRDefault="001C378A" w:rsidP="001C378A">
      <w:pPr>
        <w:widowControl/>
        <w:shd w:val="clear" w:color="auto" w:fill="FFFFFF"/>
        <w:spacing w:before="375" w:after="375"/>
        <w:jc w:val="center"/>
        <w:outlineLvl w:val="1"/>
        <w:rPr>
          <w:rFonts w:ascii="Simsun" w:eastAsia="宋体" w:hAnsi="Simsun" w:cs="宋体"/>
          <w:b/>
          <w:bCs/>
          <w:color w:val="1F376D"/>
          <w:kern w:val="0"/>
          <w:sz w:val="30"/>
          <w:szCs w:val="30"/>
        </w:rPr>
      </w:pPr>
      <w:r w:rsidRPr="001C378A">
        <w:rPr>
          <w:rFonts w:ascii="Simsun" w:eastAsia="宋体" w:hAnsi="Simsun" w:cs="宋体"/>
          <w:b/>
          <w:bCs/>
          <w:color w:val="1F376D"/>
          <w:kern w:val="0"/>
          <w:sz w:val="30"/>
          <w:szCs w:val="30"/>
        </w:rPr>
        <w:t>国家安全监管总局办公厅关于开展安全生产专业技术服务专项治理活动的通知（安监总厅科技〔</w:t>
      </w:r>
      <w:r w:rsidRPr="001C378A">
        <w:rPr>
          <w:rFonts w:ascii="Simsun" w:eastAsia="宋体" w:hAnsi="Simsun" w:cs="宋体"/>
          <w:b/>
          <w:bCs/>
          <w:color w:val="1F376D"/>
          <w:kern w:val="0"/>
          <w:sz w:val="30"/>
          <w:szCs w:val="30"/>
        </w:rPr>
        <w:t>2015</w:t>
      </w:r>
      <w:r w:rsidRPr="001C378A">
        <w:rPr>
          <w:rFonts w:ascii="Simsun" w:eastAsia="宋体" w:hAnsi="Simsun" w:cs="宋体"/>
          <w:b/>
          <w:bCs/>
          <w:color w:val="1F376D"/>
          <w:kern w:val="0"/>
          <w:sz w:val="30"/>
          <w:szCs w:val="30"/>
        </w:rPr>
        <w:t>〕</w:t>
      </w:r>
      <w:r w:rsidRPr="001C378A">
        <w:rPr>
          <w:rFonts w:ascii="Simsun" w:eastAsia="宋体" w:hAnsi="Simsun" w:cs="宋体"/>
          <w:b/>
          <w:bCs/>
          <w:color w:val="1F376D"/>
          <w:kern w:val="0"/>
          <w:sz w:val="30"/>
          <w:szCs w:val="30"/>
        </w:rPr>
        <w:t>74</w:t>
      </w:r>
      <w:r w:rsidRPr="001C378A">
        <w:rPr>
          <w:rFonts w:ascii="Simsun" w:eastAsia="宋体" w:hAnsi="Simsun" w:cs="宋体"/>
          <w:b/>
          <w:bCs/>
          <w:color w:val="1F376D"/>
          <w:kern w:val="0"/>
          <w:sz w:val="30"/>
          <w:szCs w:val="30"/>
        </w:rPr>
        <w:t>号）</w:t>
      </w:r>
    </w:p>
    <w:p w:rsidR="001C378A" w:rsidRPr="001C378A" w:rsidRDefault="001C378A" w:rsidP="001C378A">
      <w:pPr>
        <w:widowControl/>
        <w:shd w:val="clear" w:color="auto" w:fill="E7E7E7"/>
        <w:jc w:val="left"/>
        <w:rPr>
          <w:rFonts w:ascii="Simsun" w:eastAsia="宋体" w:hAnsi="Simsun" w:cs="宋体"/>
          <w:color w:val="1F376D"/>
          <w:kern w:val="0"/>
          <w:sz w:val="27"/>
          <w:szCs w:val="27"/>
        </w:rPr>
      </w:pPr>
      <w:r w:rsidRPr="001C378A">
        <w:rPr>
          <w:rFonts w:ascii="Simsun" w:eastAsia="宋体" w:hAnsi="Simsun" w:cs="宋体"/>
          <w:color w:val="1F376D"/>
          <w:kern w:val="0"/>
          <w:sz w:val="20"/>
          <w:szCs w:val="20"/>
        </w:rPr>
        <w:t>发布时间：</w:t>
      </w:r>
      <w:r w:rsidRPr="001C378A">
        <w:rPr>
          <w:rFonts w:ascii="Simsun" w:eastAsia="宋体" w:hAnsi="Simsun" w:cs="宋体"/>
          <w:color w:val="1F376D"/>
          <w:kern w:val="0"/>
          <w:sz w:val="20"/>
          <w:szCs w:val="20"/>
        </w:rPr>
        <w:t>2015-08-11</w:t>
      </w:r>
      <w:r w:rsidRPr="001C378A">
        <w:rPr>
          <w:rFonts w:ascii="Simsun" w:eastAsia="宋体" w:hAnsi="Simsun" w:cs="宋体"/>
          <w:color w:val="1F376D"/>
          <w:kern w:val="0"/>
          <w:sz w:val="20"/>
          <w:szCs w:val="20"/>
        </w:rPr>
        <w:t>信息来源：安监动态</w:t>
      </w:r>
    </w:p>
    <w:p w:rsidR="001C378A" w:rsidRPr="001C378A" w:rsidRDefault="001C378A" w:rsidP="001C378A">
      <w:pPr>
        <w:widowControl/>
        <w:shd w:val="clear" w:color="auto" w:fill="FFFFFF"/>
        <w:spacing w:line="330" w:lineRule="atLeast"/>
        <w:jc w:val="left"/>
        <w:rPr>
          <w:rFonts w:ascii="Simsun" w:eastAsia="宋体" w:hAnsi="Simsun" w:cs="宋体"/>
          <w:color w:val="1F376D"/>
          <w:kern w:val="0"/>
          <w:szCs w:val="21"/>
        </w:rPr>
      </w:pPr>
      <w:r w:rsidRPr="001C378A">
        <w:rPr>
          <w:rFonts w:ascii="Simsun" w:eastAsia="宋体" w:hAnsi="Simsun" w:cs="宋体"/>
          <w:color w:val="1F376D"/>
          <w:kern w:val="0"/>
          <w:szCs w:val="21"/>
        </w:rPr>
        <w:t> </w:t>
      </w:r>
    </w:p>
    <w:p w:rsidR="001C378A" w:rsidRPr="001C378A" w:rsidRDefault="001C378A" w:rsidP="001C378A">
      <w:pPr>
        <w:widowControl/>
        <w:shd w:val="clear" w:color="auto" w:fill="FFFFFF"/>
        <w:spacing w:line="330" w:lineRule="atLeast"/>
        <w:jc w:val="center"/>
        <w:rPr>
          <w:rFonts w:ascii="宋体" w:eastAsia="宋体" w:hAnsi="宋体" w:cs="宋体"/>
          <w:color w:val="1F376D"/>
          <w:kern w:val="0"/>
          <w:sz w:val="24"/>
          <w:szCs w:val="24"/>
        </w:rPr>
      </w:pPr>
      <w:r w:rsidRPr="001C378A">
        <w:rPr>
          <w:rFonts w:ascii="宋体" w:eastAsia="宋体" w:hAnsi="宋体" w:cs="宋体" w:hint="eastAsia"/>
          <w:b/>
          <w:bCs/>
          <w:color w:val="1F376D"/>
          <w:kern w:val="0"/>
          <w:sz w:val="36"/>
          <w:szCs w:val="36"/>
        </w:rPr>
        <w:t>国家安全监管总局办公厅关于开展</w:t>
      </w:r>
    </w:p>
    <w:p w:rsidR="001C378A" w:rsidRPr="001C378A" w:rsidRDefault="001C378A" w:rsidP="001C378A">
      <w:pPr>
        <w:widowControl/>
        <w:shd w:val="clear" w:color="auto" w:fill="FFFFFF"/>
        <w:spacing w:line="330" w:lineRule="atLeast"/>
        <w:jc w:val="center"/>
        <w:rPr>
          <w:rFonts w:ascii="宋体" w:eastAsia="宋体" w:hAnsi="宋体" w:cs="宋体"/>
          <w:color w:val="1F376D"/>
          <w:kern w:val="0"/>
          <w:sz w:val="24"/>
          <w:szCs w:val="24"/>
        </w:rPr>
      </w:pPr>
      <w:r w:rsidRPr="001C378A">
        <w:rPr>
          <w:rFonts w:ascii="宋体" w:eastAsia="宋体" w:hAnsi="宋体" w:cs="宋体" w:hint="eastAsia"/>
          <w:b/>
          <w:bCs/>
          <w:color w:val="1F376D"/>
          <w:kern w:val="0"/>
          <w:sz w:val="36"/>
          <w:szCs w:val="36"/>
        </w:rPr>
        <w:t>安全生产专业技术服务专项治理活动的通知</w:t>
      </w:r>
    </w:p>
    <w:p w:rsidR="001C378A" w:rsidRPr="001C378A" w:rsidRDefault="001C378A" w:rsidP="001C378A">
      <w:pPr>
        <w:widowControl/>
        <w:shd w:val="clear" w:color="auto" w:fill="FFFFFF"/>
        <w:spacing w:line="330" w:lineRule="atLeast"/>
        <w:jc w:val="center"/>
        <w:rPr>
          <w:rFonts w:ascii="宋体" w:eastAsia="宋体" w:hAnsi="宋体" w:cs="宋体"/>
          <w:color w:val="1F376D"/>
          <w:kern w:val="0"/>
          <w:sz w:val="24"/>
          <w:szCs w:val="24"/>
        </w:rPr>
      </w:pPr>
      <w:r w:rsidRPr="001C378A">
        <w:rPr>
          <w:rFonts w:ascii="楷体_GB2312" w:eastAsia="楷体_GB2312" w:hAnsi="宋体" w:cs="宋体" w:hint="eastAsia"/>
          <w:color w:val="1F376D"/>
          <w:kern w:val="0"/>
          <w:sz w:val="24"/>
          <w:szCs w:val="24"/>
        </w:rPr>
        <w:t>安监总厅科技〔2015〕74号</w:t>
      </w:r>
    </w:p>
    <w:p w:rsidR="001C378A" w:rsidRPr="001C378A" w:rsidRDefault="001C378A" w:rsidP="001C378A">
      <w:pPr>
        <w:widowControl/>
        <w:shd w:val="clear" w:color="auto" w:fill="FFFFFF"/>
        <w:spacing w:line="330" w:lineRule="atLeast"/>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各省、自治区、直辖市及新疆生产建设兵团安全生产监督管理局，各省级煤矿安全监察局，海洋石油作业安全办公室各分部：</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近年来，各级安全监管部门和煤矿安监机构（以下统称安监部门）不断强化监管、规范从业行为，有力地推动了安全生产各类专业技术服务机构的健康有序发展，使其成为安全生产工作一支重要技术支撑力量，发挥了较好的事故防范作用。同时，也暴露出部分地区存在着从业行为不够规范、服务质量不高、违规收费、指定服务、行政干预等问题。为进一步规范从业行为和监管工作，经研究，定于</w:t>
      </w:r>
      <w:r w:rsidRPr="001C378A">
        <w:rPr>
          <w:rFonts w:ascii="宋体" w:eastAsia="宋体" w:hAnsi="宋体" w:cs="宋体"/>
          <w:color w:val="1F376D"/>
          <w:kern w:val="0"/>
          <w:sz w:val="24"/>
          <w:szCs w:val="24"/>
        </w:rPr>
        <w:t>2015</w:t>
      </w:r>
      <w:r w:rsidRPr="001C378A">
        <w:rPr>
          <w:rFonts w:ascii="宋体" w:eastAsia="宋体" w:hAnsi="宋体" w:cs="宋体" w:hint="eastAsia"/>
          <w:color w:val="1F376D"/>
          <w:kern w:val="0"/>
          <w:sz w:val="24"/>
          <w:szCs w:val="24"/>
        </w:rPr>
        <w:t>年</w:t>
      </w:r>
      <w:r w:rsidRPr="001C378A">
        <w:rPr>
          <w:rFonts w:ascii="宋体" w:eastAsia="宋体" w:hAnsi="宋体" w:cs="宋体"/>
          <w:color w:val="1F376D"/>
          <w:kern w:val="0"/>
          <w:sz w:val="24"/>
          <w:szCs w:val="24"/>
        </w:rPr>
        <w:t>8</w:t>
      </w:r>
      <w:r w:rsidRPr="001C378A">
        <w:rPr>
          <w:rFonts w:ascii="宋体" w:eastAsia="宋体" w:hAnsi="宋体" w:cs="宋体" w:hint="eastAsia"/>
          <w:color w:val="1F376D"/>
          <w:kern w:val="0"/>
          <w:sz w:val="24"/>
          <w:szCs w:val="24"/>
        </w:rPr>
        <w:t>月至</w:t>
      </w:r>
      <w:r w:rsidRPr="001C378A">
        <w:rPr>
          <w:rFonts w:ascii="宋体" w:eastAsia="宋体" w:hAnsi="宋体" w:cs="宋体"/>
          <w:color w:val="1F376D"/>
          <w:kern w:val="0"/>
          <w:sz w:val="24"/>
          <w:szCs w:val="24"/>
        </w:rPr>
        <w:t>12</w:t>
      </w:r>
      <w:r w:rsidRPr="001C378A">
        <w:rPr>
          <w:rFonts w:ascii="宋体" w:eastAsia="宋体" w:hAnsi="宋体" w:cs="宋体" w:hint="eastAsia"/>
          <w:color w:val="1F376D"/>
          <w:kern w:val="0"/>
          <w:sz w:val="24"/>
          <w:szCs w:val="24"/>
        </w:rPr>
        <w:t>月，在全国开展以“规范监管行为、规范从业行为”为主题的安全生产专业技术服务行业领域专项治理活动（以下简称专项治理活动）。现将有关事项通知如下：</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一、工作目标</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规范安全生产专业技术服务机构从业行为，提升服务安全生产的质量和水平；规范安全生产专业技术服务收费行为，杜绝垄断收费、违规收费、指定收费；规范安监部门监管行为，杜绝强制服务、指定服务、行政干预专业服务市场等。</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二、治理对象</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各级安监部门以及所属或者管理的事业单位、社团组织，各类从事安全评价、安全培训、职业卫生技术服务、安全生产标准化达标评审等工作的专业技术服务机构（以下统称有关单位）。</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三、治理内容</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（一）安监部门资质审批、认定和日常监管中存在的违法和不规范行为：</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一是不按规定审批、认定资质的；</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二是违反规定，擅自变更、设立行政许可事项的；</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三是要求生产经营单位接受指定机构开展技术服务的；</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四是对专业技术服务机构跨区域从业实行审批性层层备案的；</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五是无法律法规依据对技术报告组织行政性评审并由生产经营单位或机构支付费用的；</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六是干预市场定价，违规擅自出台技术服务收费标准的；</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七是对辖区内技术服务机构违法违规行为查处不严格、责任追究不力的；</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lastRenderedPageBreak/>
        <w:t>八是安监部门机关工作人员参与或者干预机构从业活动并获取不正当利益的；</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九是安监部门机关工作人员在技术报告评审、资质审批等工作中接受劳务费、专家费等报酬的。</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（二）安监部门所属或者管理的事业单位、社团组织存在的违法和不规范行为：</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一是专业技术服务业务应注册由独立法人开展而未注册成立独立法人的；</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二是未按资质证书规定业务范围开展专业技术服务，或者租借资质证书、非法挂靠、转包技术服务项目的；</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三是假借、冒用安监部门名义要求服务对象接受有偿服务的；</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四是承接安监部门工作任务，无法律法规依据向生产经营单位收取费用的。</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（三）专业技术服务机构存在的违法和不规范行为：</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一是未按资质证书规定业务范围开展工作，或者租借资质证书、非法挂靠、转包服务项目的；</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二是假借、冒用他人名义要求服务对象接受有偿服务的；</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三是出具虚假或者漏项、缺项技术报告的；</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四是从业人员出租、出借资格证书，或者在技术报告上冒用他人签名的；</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五是未按合同约定开展技术服务，应到而不到现场开展技术服务、抄袭他人成果、技术报告质量无保障的；</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六是恶意低价竞争或者采取串标、围标等不正当竞争手段，扰乱技术服务市场秩序的。</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四、工作安排</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（一）自查自改阶段（</w:t>
      </w:r>
      <w:r w:rsidRPr="001C378A">
        <w:rPr>
          <w:rFonts w:ascii="宋体" w:eastAsia="宋体" w:hAnsi="宋体" w:cs="宋体"/>
          <w:color w:val="1F376D"/>
          <w:kern w:val="0"/>
          <w:sz w:val="24"/>
          <w:szCs w:val="24"/>
        </w:rPr>
        <w:t>8</w:t>
      </w:r>
      <w:r w:rsidRPr="001C378A">
        <w:rPr>
          <w:rFonts w:ascii="宋体" w:eastAsia="宋体" w:hAnsi="宋体" w:cs="宋体" w:hint="eastAsia"/>
          <w:color w:val="1F376D"/>
          <w:kern w:val="0"/>
          <w:sz w:val="24"/>
          <w:szCs w:val="24"/>
        </w:rPr>
        <w:t>—</w:t>
      </w:r>
      <w:r w:rsidRPr="001C378A">
        <w:rPr>
          <w:rFonts w:ascii="宋体" w:eastAsia="宋体" w:hAnsi="宋体" w:cs="宋体"/>
          <w:color w:val="1F376D"/>
          <w:kern w:val="0"/>
          <w:sz w:val="24"/>
          <w:szCs w:val="24"/>
        </w:rPr>
        <w:t>9</w:t>
      </w:r>
      <w:r w:rsidRPr="001C378A">
        <w:rPr>
          <w:rFonts w:ascii="宋体" w:eastAsia="宋体" w:hAnsi="宋体" w:cs="宋体" w:hint="eastAsia"/>
          <w:color w:val="1F376D"/>
          <w:kern w:val="0"/>
          <w:sz w:val="24"/>
          <w:szCs w:val="24"/>
        </w:rPr>
        <w:t>月）。</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各有关单位要对照治理内容，开展全面自查，对发现的问题要采取有效措施，认真整改落实。专业技术服务机构要将自查自改情况书面报送注册地省级安监部门，安监部门以及所属或者管理的事业单位、社团组织的自查自改情况由相应安监部门汇总后书面报送上一级安监部门。</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（二）督导检查阶段（</w:t>
      </w:r>
      <w:r w:rsidRPr="001C378A">
        <w:rPr>
          <w:rFonts w:ascii="宋体" w:eastAsia="宋体" w:hAnsi="宋体" w:cs="宋体"/>
          <w:color w:val="1F376D"/>
          <w:kern w:val="0"/>
          <w:sz w:val="24"/>
          <w:szCs w:val="24"/>
        </w:rPr>
        <w:t>10</w:t>
      </w:r>
      <w:r w:rsidRPr="001C378A">
        <w:rPr>
          <w:rFonts w:ascii="宋体" w:eastAsia="宋体" w:hAnsi="宋体" w:cs="宋体" w:hint="eastAsia"/>
          <w:color w:val="1F376D"/>
          <w:kern w:val="0"/>
          <w:sz w:val="24"/>
          <w:szCs w:val="24"/>
        </w:rPr>
        <w:t>—</w:t>
      </w:r>
      <w:r w:rsidRPr="001C378A">
        <w:rPr>
          <w:rFonts w:ascii="宋体" w:eastAsia="宋体" w:hAnsi="宋体" w:cs="宋体"/>
          <w:color w:val="1F376D"/>
          <w:kern w:val="0"/>
          <w:sz w:val="24"/>
          <w:szCs w:val="24"/>
        </w:rPr>
        <w:t>11</w:t>
      </w:r>
      <w:r w:rsidRPr="001C378A">
        <w:rPr>
          <w:rFonts w:ascii="宋体" w:eastAsia="宋体" w:hAnsi="宋体" w:cs="宋体" w:hint="eastAsia"/>
          <w:color w:val="1F376D"/>
          <w:kern w:val="0"/>
          <w:sz w:val="24"/>
          <w:szCs w:val="24"/>
        </w:rPr>
        <w:t>月）。</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各级安监部门通过宣传动员、抽查检查等方式，督促和指导专项治理活动的深入开展。要结合各有关单位的自查自改情况，适时开展督查，对工作不深入、查找问题不认真、整改措施不到位的单位，要严肃查处并督促其及时整改到位。国家安全监管总局、国家煤矿安监局将组成联合督查组，对各地区专项治理活动开展情况进行督导抽查。</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（三）总结提升阶段（</w:t>
      </w:r>
      <w:r w:rsidRPr="001C378A">
        <w:rPr>
          <w:rFonts w:ascii="宋体" w:eastAsia="宋体" w:hAnsi="宋体" w:cs="宋体"/>
          <w:color w:val="1F376D"/>
          <w:kern w:val="0"/>
          <w:sz w:val="24"/>
          <w:szCs w:val="24"/>
        </w:rPr>
        <w:t>12</w:t>
      </w:r>
      <w:r w:rsidRPr="001C378A">
        <w:rPr>
          <w:rFonts w:ascii="宋体" w:eastAsia="宋体" w:hAnsi="宋体" w:cs="宋体" w:hint="eastAsia"/>
          <w:color w:val="1F376D"/>
          <w:kern w:val="0"/>
          <w:sz w:val="24"/>
          <w:szCs w:val="24"/>
        </w:rPr>
        <w:t>月）。</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各级安监部门要对专项治理活动及时总结，分析专业技术服务行业存在的普遍性问题，研究提出具体工作意见建议。要通过开展专项治理活动，废除一批涉嫌行政干预、指定服务、违规收费等影响市场公平的文件和制度，清理、整顿一些违规委托事项、收费事项，维护专业技术服务行业健康发展。</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五、有关要求</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（一）加强领导，强化协调。各级安监部门要高度重视，明确一名负责同志牵头负责，建立工作机制，加大组织协调力度，统筹解决相关问题，完善制度保障措施，确保专项治理活动扎实有序开展。</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lastRenderedPageBreak/>
        <w:t>（二）细化分工，保证质量。各有关单位要对治理范围和重点内容逐项分解，制定详细的专项治理工作方案，将自查自改、整改落实的目标任务分解到具体部门、具体岗位和具体责任人，认真查找问题并及时予以规范整改，确保治理工作取得实效。</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三）深化改革，完善机制。各级安监部门要结合行政审批制度改革，建立专业技术服务监管的权力清单和责任清单，规范行政审批、检查执法、行政处罚等工作流程，严格依法审批、依法监管、依法处罚。在聘请专家、评审把关和安全生产标准化达标评审等工作中，要逐步建立完善政府购买服务机制。要积极会商物价主管部门联合出台行业收费指导意见，不断完善市场定价机制，规范安全生产专业技术服务行业收费。</w:t>
      </w:r>
    </w:p>
    <w:p w:rsidR="001C378A" w:rsidRPr="001C378A" w:rsidRDefault="001C378A" w:rsidP="001C378A">
      <w:pPr>
        <w:widowControl/>
        <w:shd w:val="clear" w:color="auto" w:fill="FFFFFF"/>
        <w:spacing w:line="330" w:lineRule="atLeast"/>
        <w:ind w:firstLine="420"/>
        <w:jc w:val="lef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海洋石油领域专项治理工作由国家安全监管总局海洋石油作业安全办公室统一部署。</w:t>
      </w:r>
    </w:p>
    <w:p w:rsidR="001C378A" w:rsidRPr="001C378A" w:rsidRDefault="001C378A" w:rsidP="001C378A">
      <w:pPr>
        <w:widowControl/>
        <w:shd w:val="clear" w:color="auto" w:fill="FFFFFF"/>
        <w:spacing w:line="330" w:lineRule="atLeast"/>
        <w:ind w:firstLine="420"/>
        <w:jc w:val="right"/>
        <w:rPr>
          <w:rFonts w:ascii="宋体" w:eastAsia="宋体" w:hAnsi="宋体" w:cs="宋体"/>
          <w:color w:val="1F376D"/>
          <w:kern w:val="0"/>
          <w:sz w:val="24"/>
          <w:szCs w:val="24"/>
        </w:rPr>
      </w:pPr>
      <w:r w:rsidRPr="001C378A">
        <w:rPr>
          <w:rFonts w:ascii="宋体" w:eastAsia="宋体" w:hAnsi="宋体" w:cs="宋体" w:hint="eastAsia"/>
          <w:color w:val="1F376D"/>
          <w:kern w:val="0"/>
          <w:sz w:val="24"/>
          <w:szCs w:val="24"/>
        </w:rPr>
        <w:t>安全监管总局办公厅</w:t>
      </w:r>
    </w:p>
    <w:p w:rsidR="001C378A" w:rsidRPr="001C378A" w:rsidRDefault="001C378A" w:rsidP="001C378A">
      <w:pPr>
        <w:widowControl/>
        <w:shd w:val="clear" w:color="auto" w:fill="FFFFFF"/>
        <w:spacing w:line="330" w:lineRule="atLeast"/>
        <w:ind w:firstLine="420"/>
        <w:jc w:val="right"/>
        <w:rPr>
          <w:rFonts w:ascii="宋体" w:eastAsia="宋体" w:hAnsi="宋体" w:cs="宋体"/>
          <w:color w:val="1F376D"/>
          <w:kern w:val="0"/>
          <w:sz w:val="24"/>
          <w:szCs w:val="24"/>
        </w:rPr>
      </w:pPr>
      <w:r w:rsidRPr="001C378A">
        <w:rPr>
          <w:rFonts w:ascii="宋体" w:eastAsia="宋体" w:hAnsi="宋体" w:cs="宋体"/>
          <w:color w:val="1F376D"/>
          <w:kern w:val="0"/>
          <w:sz w:val="24"/>
          <w:szCs w:val="24"/>
        </w:rPr>
        <w:t>2015</w:t>
      </w:r>
      <w:r w:rsidRPr="001C378A">
        <w:rPr>
          <w:rFonts w:ascii="宋体" w:eastAsia="宋体" w:hAnsi="宋体" w:cs="宋体" w:hint="eastAsia"/>
          <w:color w:val="1F376D"/>
          <w:kern w:val="0"/>
          <w:sz w:val="24"/>
          <w:szCs w:val="24"/>
        </w:rPr>
        <w:t>年</w:t>
      </w:r>
      <w:r w:rsidRPr="001C378A">
        <w:rPr>
          <w:rFonts w:ascii="宋体" w:eastAsia="宋体" w:hAnsi="宋体" w:cs="宋体"/>
          <w:color w:val="1F376D"/>
          <w:kern w:val="0"/>
          <w:sz w:val="24"/>
          <w:szCs w:val="24"/>
        </w:rPr>
        <w:t>8</w:t>
      </w:r>
      <w:r w:rsidRPr="001C378A">
        <w:rPr>
          <w:rFonts w:ascii="宋体" w:eastAsia="宋体" w:hAnsi="宋体" w:cs="宋体" w:hint="eastAsia"/>
          <w:color w:val="1F376D"/>
          <w:kern w:val="0"/>
          <w:sz w:val="24"/>
          <w:szCs w:val="24"/>
        </w:rPr>
        <w:t>月</w:t>
      </w:r>
      <w:r w:rsidRPr="001C378A">
        <w:rPr>
          <w:rFonts w:ascii="宋体" w:eastAsia="宋体" w:hAnsi="宋体" w:cs="宋体"/>
          <w:color w:val="1F376D"/>
          <w:kern w:val="0"/>
          <w:sz w:val="24"/>
          <w:szCs w:val="24"/>
        </w:rPr>
        <w:t>4</w:t>
      </w:r>
      <w:r w:rsidRPr="001C378A">
        <w:rPr>
          <w:rFonts w:ascii="宋体" w:eastAsia="宋体" w:hAnsi="宋体" w:cs="宋体" w:hint="eastAsia"/>
          <w:color w:val="1F376D"/>
          <w:kern w:val="0"/>
          <w:sz w:val="24"/>
          <w:szCs w:val="24"/>
        </w:rPr>
        <w:t>日</w:t>
      </w:r>
    </w:p>
    <w:p w:rsidR="008A112F" w:rsidRDefault="008A112F"/>
    <w:sectPr w:rsidR="008A112F" w:rsidSect="008A112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C378A"/>
    <w:rsid w:val="001C378A"/>
    <w:rsid w:val="008A11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12F"/>
    <w:pPr>
      <w:widowControl w:val="0"/>
      <w:jc w:val="both"/>
    </w:pPr>
  </w:style>
  <w:style w:type="paragraph" w:styleId="2">
    <w:name w:val="heading 2"/>
    <w:basedOn w:val="a"/>
    <w:link w:val="2Char"/>
    <w:uiPriority w:val="9"/>
    <w:qFormat/>
    <w:rsid w:val="001C378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C378A"/>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701981097">
      <w:bodyDiv w:val="1"/>
      <w:marLeft w:val="0"/>
      <w:marRight w:val="0"/>
      <w:marTop w:val="0"/>
      <w:marBottom w:val="0"/>
      <w:divBdr>
        <w:top w:val="none" w:sz="0" w:space="0" w:color="auto"/>
        <w:left w:val="none" w:sz="0" w:space="0" w:color="auto"/>
        <w:bottom w:val="none" w:sz="0" w:space="0" w:color="auto"/>
        <w:right w:val="none" w:sz="0" w:space="0" w:color="auto"/>
      </w:divBdr>
      <w:divsChild>
        <w:div w:id="15474090">
          <w:marLeft w:val="300"/>
          <w:marRight w:val="0"/>
          <w:marTop w:val="150"/>
          <w:marBottom w:val="450"/>
          <w:divBdr>
            <w:top w:val="none" w:sz="0" w:space="0" w:color="auto"/>
            <w:left w:val="none" w:sz="0" w:space="0" w:color="auto"/>
            <w:bottom w:val="single" w:sz="6" w:space="0" w:color="C0C0C0"/>
            <w:right w:val="none" w:sz="0" w:space="0" w:color="auto"/>
          </w:divBdr>
        </w:div>
        <w:div w:id="219556194">
          <w:marLeft w:val="300"/>
          <w:marRight w:val="30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2015-08-18T07:53:00Z</dcterms:created>
  <dcterms:modified xsi:type="dcterms:W3CDTF">2015-08-18T07:54:00Z</dcterms:modified>
</cp:coreProperties>
</file>